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2" w:rsidRPr="00E37883" w:rsidRDefault="00CC3EFF" w:rsidP="00E37883">
      <w:pPr>
        <w:spacing w:line="240" w:lineRule="auto"/>
        <w:jc w:val="center"/>
        <w:rPr>
          <w:sz w:val="28"/>
          <w:szCs w:val="28"/>
        </w:rPr>
      </w:pPr>
      <w:r w:rsidRPr="00E37883">
        <w:rPr>
          <w:sz w:val="28"/>
          <w:szCs w:val="28"/>
        </w:rPr>
        <w:t>Data Elements, Sources, and Timelines</w:t>
      </w:r>
    </w:p>
    <w:tbl>
      <w:tblPr>
        <w:tblStyle w:val="LightList-Accent2"/>
        <w:tblW w:w="0" w:type="auto"/>
        <w:tblLook w:val="04A0"/>
      </w:tblPr>
      <w:tblGrid>
        <w:gridCol w:w="4068"/>
        <w:gridCol w:w="4140"/>
        <w:gridCol w:w="1980"/>
        <w:gridCol w:w="1890"/>
        <w:gridCol w:w="1980"/>
      </w:tblGrid>
      <w:tr w:rsidR="003F757F" w:rsidTr="00136DDD">
        <w:trPr>
          <w:cnfStyle w:val="100000000000"/>
          <w:tblHeader/>
        </w:trPr>
        <w:tc>
          <w:tcPr>
            <w:cnfStyle w:val="001000000000"/>
            <w:tcW w:w="4068" w:type="dxa"/>
          </w:tcPr>
          <w:p w:rsidR="00701F22" w:rsidRDefault="00701F22">
            <w:r>
              <w:t>Data Element</w:t>
            </w:r>
          </w:p>
        </w:tc>
        <w:tc>
          <w:tcPr>
            <w:tcW w:w="4140" w:type="dxa"/>
          </w:tcPr>
          <w:p w:rsidR="00701F22" w:rsidRDefault="00701F22" w:rsidP="00B4205C">
            <w:pPr>
              <w:cnfStyle w:val="100000000000"/>
            </w:pPr>
            <w:r>
              <w:t>LPE</w:t>
            </w:r>
          </w:p>
        </w:tc>
        <w:tc>
          <w:tcPr>
            <w:tcW w:w="1980" w:type="dxa"/>
          </w:tcPr>
          <w:p w:rsidR="00701F22" w:rsidRDefault="00701F22" w:rsidP="00B4205C">
            <w:pPr>
              <w:cnfStyle w:val="100000000000"/>
            </w:pPr>
            <w:r>
              <w:t>DPE</w:t>
            </w:r>
          </w:p>
        </w:tc>
        <w:tc>
          <w:tcPr>
            <w:tcW w:w="1890" w:type="dxa"/>
          </w:tcPr>
          <w:p w:rsidR="00701F22" w:rsidRDefault="00701F22" w:rsidP="00B4205C">
            <w:pPr>
              <w:cnfStyle w:val="100000000000"/>
            </w:pPr>
            <w:r>
              <w:t>Near Final</w:t>
            </w:r>
          </w:p>
        </w:tc>
        <w:tc>
          <w:tcPr>
            <w:tcW w:w="1980" w:type="dxa"/>
          </w:tcPr>
          <w:p w:rsidR="00701F22" w:rsidRDefault="00701F22" w:rsidP="00B4205C">
            <w:pPr>
              <w:cnfStyle w:val="100000000000"/>
            </w:pPr>
            <w:r>
              <w:t>Final</w:t>
            </w:r>
          </w:p>
        </w:tc>
      </w:tr>
      <w:tr w:rsidR="00AE3F94" w:rsidTr="00136DDD">
        <w:trPr>
          <w:cnfStyle w:val="000000100000"/>
        </w:trPr>
        <w:tc>
          <w:tcPr>
            <w:cnfStyle w:val="001000000000"/>
            <w:tcW w:w="4068" w:type="dxa"/>
          </w:tcPr>
          <w:p w:rsidR="00701F22" w:rsidRPr="005D2A79" w:rsidRDefault="00701F22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Average Daily Attendance</w:t>
            </w:r>
            <w:r w:rsidR="00EC0123">
              <w:rPr>
                <w:rFonts w:ascii="Arial" w:hAnsi="Arial" w:cs="Arial"/>
              </w:rPr>
              <w:t xml:space="preserve"> (ADA)</w:t>
            </w:r>
          </w:p>
          <w:p w:rsidR="00AE3F94" w:rsidRPr="005D2A79" w:rsidRDefault="00EC0123" w:rsidP="00EC012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*</w:t>
            </w:r>
            <w:r w:rsidR="00CC3EFF" w:rsidRPr="005D2A79">
              <w:rPr>
                <w:rFonts w:ascii="Arial" w:hAnsi="Arial" w:cs="Arial"/>
                <w:b w:val="0"/>
              </w:rPr>
              <w:t xml:space="preserve">Note that </w:t>
            </w:r>
            <w:r w:rsidR="00AE3F94" w:rsidRPr="005D2A79">
              <w:rPr>
                <w:rFonts w:ascii="Arial" w:hAnsi="Arial" w:cs="Arial"/>
                <w:b w:val="0"/>
              </w:rPr>
              <w:t>Pre-k ADA is limited to half-day for eligible students only.</w:t>
            </w:r>
            <w:r w:rsidR="00CC3EFF" w:rsidRPr="005D2A79">
              <w:rPr>
                <w:rFonts w:ascii="Arial" w:hAnsi="Arial" w:cs="Arial"/>
                <w:b w:val="0"/>
              </w:rPr>
              <w:t xml:space="preserve">  A migrant adjustment is available for districts with</w:t>
            </w:r>
            <w:r w:rsidR="006A34A9">
              <w:rPr>
                <w:rFonts w:ascii="Arial" w:hAnsi="Arial" w:cs="Arial"/>
                <w:b w:val="0"/>
              </w:rPr>
              <w:t xml:space="preserve"> a migrant population of</w:t>
            </w:r>
            <w:r w:rsidR="00CC3EFF" w:rsidRPr="005D2A7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5% or more (best four</w:t>
            </w:r>
            <w:r w:rsidR="00CC3EFF" w:rsidRPr="005D2A79">
              <w:rPr>
                <w:rFonts w:ascii="Arial" w:hAnsi="Arial" w:cs="Arial"/>
                <w:b w:val="0"/>
              </w:rPr>
              <w:t xml:space="preserve"> of </w:t>
            </w:r>
            <w:r>
              <w:rPr>
                <w:rFonts w:ascii="Arial" w:hAnsi="Arial" w:cs="Arial"/>
                <w:b w:val="0"/>
              </w:rPr>
              <w:t>six</w:t>
            </w:r>
            <w:r w:rsidR="00CC3EFF" w:rsidRPr="005D2A79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six-</w:t>
            </w:r>
            <w:r w:rsidR="00CC3EFF" w:rsidRPr="005D2A79">
              <w:rPr>
                <w:rFonts w:ascii="Arial" w:hAnsi="Arial" w:cs="Arial"/>
                <w:b w:val="0"/>
              </w:rPr>
              <w:t>week periods</w:t>
            </w:r>
            <w:r>
              <w:rPr>
                <w:rFonts w:ascii="Arial" w:hAnsi="Arial" w:cs="Arial"/>
                <w:b w:val="0"/>
              </w:rPr>
              <w:t xml:space="preserve"> used</w:t>
            </w:r>
            <w:r w:rsidR="006A34A9">
              <w:rPr>
                <w:rFonts w:ascii="Arial" w:hAnsi="Arial" w:cs="Arial"/>
                <w:b w:val="0"/>
              </w:rPr>
              <w:t xml:space="preserve"> in this case</w:t>
            </w:r>
            <w:r w:rsidR="00CC3EFF" w:rsidRPr="005D2A79">
              <w:rPr>
                <w:rFonts w:ascii="Arial" w:hAnsi="Arial" w:cs="Arial"/>
                <w:b w:val="0"/>
              </w:rPr>
              <w:t>).  ADA decline provisions currently unfunded.</w:t>
            </w:r>
          </w:p>
        </w:tc>
        <w:tc>
          <w:tcPr>
            <w:tcW w:w="4140" w:type="dxa"/>
          </w:tcPr>
          <w:p w:rsidR="00701F22" w:rsidRPr="005D2A79" w:rsidRDefault="00EC0123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</w:t>
            </w:r>
            <w:r w:rsidR="00701F22" w:rsidRPr="005D2A79">
              <w:rPr>
                <w:rFonts w:ascii="Arial" w:hAnsi="Arial" w:cs="Arial"/>
              </w:rPr>
              <w:t>rojections</w:t>
            </w:r>
            <w:r w:rsidR="000D2B23" w:rsidRPr="005D2A79">
              <w:rPr>
                <w:rFonts w:ascii="Arial" w:hAnsi="Arial" w:cs="Arial"/>
              </w:rPr>
              <w:t xml:space="preserve"> submitted to TEA each biennium and used during the appropriations process</w:t>
            </w:r>
            <w:r w:rsidR="006064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701F22" w:rsidRPr="005D2A79" w:rsidRDefault="000D2B23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Adjusted</w:t>
            </w:r>
            <w:r w:rsidR="00CC3EFF" w:rsidRPr="005D2A79">
              <w:rPr>
                <w:rFonts w:ascii="Arial" w:hAnsi="Arial" w:cs="Arial"/>
              </w:rPr>
              <w:t xml:space="preserve"> each year</w:t>
            </w:r>
            <w:r w:rsidRPr="005D2A79">
              <w:rPr>
                <w:rFonts w:ascii="Arial" w:hAnsi="Arial" w:cs="Arial"/>
              </w:rPr>
              <w:t xml:space="preserve"> in March when PEIMS enrollment data are available</w:t>
            </w:r>
            <w:r w:rsidR="00EC0123">
              <w:rPr>
                <w:rFonts w:ascii="Arial" w:hAnsi="Arial" w:cs="Arial"/>
              </w:rPr>
              <w:t xml:space="preserve"> based on percentage increase from prior year</w:t>
            </w:r>
          </w:p>
        </w:tc>
        <w:tc>
          <w:tcPr>
            <w:tcW w:w="1890" w:type="dxa"/>
          </w:tcPr>
          <w:p w:rsidR="00701F22" w:rsidRPr="005D2A79" w:rsidRDefault="000D2B23" w:rsidP="000C3C62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Summer PEIMS ADA count</w:t>
            </w:r>
            <w:r w:rsidR="00CC3EFF" w:rsidRPr="005D2A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</w:tcPr>
          <w:p w:rsidR="00701F22" w:rsidRPr="005D2A79" w:rsidRDefault="006A34A9" w:rsidP="00FD23F6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Near-</w:t>
            </w:r>
            <w:r w:rsidR="00C16ADA">
              <w:rPr>
                <w:rFonts w:ascii="Arial" w:hAnsi="Arial" w:cs="Arial"/>
              </w:rPr>
              <w:t>Final</w:t>
            </w:r>
            <w:r w:rsidR="00D51BBC">
              <w:rPr>
                <w:rFonts w:ascii="Arial" w:hAnsi="Arial" w:cs="Arial"/>
              </w:rPr>
              <w:t xml:space="preserve">. Updated with ADA counts </w:t>
            </w:r>
            <w:r w:rsidR="00FD23F6">
              <w:rPr>
                <w:rFonts w:ascii="Arial" w:hAnsi="Arial" w:cs="Arial"/>
              </w:rPr>
              <w:t xml:space="preserve">for OFSDP </w:t>
            </w:r>
            <w:r w:rsidR="00D51BBC">
              <w:rPr>
                <w:rFonts w:ascii="Arial" w:hAnsi="Arial" w:cs="Arial"/>
              </w:rPr>
              <w:t>from PEIMS submission 4</w:t>
            </w:r>
          </w:p>
        </w:tc>
      </w:tr>
      <w:tr w:rsidR="003F757F" w:rsidTr="00136DDD">
        <w:tc>
          <w:tcPr>
            <w:cnfStyle w:val="001000000000"/>
            <w:tcW w:w="4068" w:type="dxa"/>
          </w:tcPr>
          <w:p w:rsidR="003F757F" w:rsidRPr="005D2A79" w:rsidRDefault="003F757F" w:rsidP="006A34A9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Bilingual Education, Special Education</w:t>
            </w:r>
            <w:r w:rsidR="00AE3F94" w:rsidRPr="005D2A79">
              <w:rPr>
                <w:rFonts w:ascii="Arial" w:hAnsi="Arial" w:cs="Arial"/>
              </w:rPr>
              <w:t xml:space="preserve">, CTE, </w:t>
            </w:r>
            <w:r w:rsidR="00EC0123">
              <w:rPr>
                <w:rFonts w:ascii="Arial" w:hAnsi="Arial" w:cs="Arial"/>
              </w:rPr>
              <w:t xml:space="preserve">and </w:t>
            </w:r>
            <w:r w:rsidR="00AE3F94" w:rsidRPr="005D2A79">
              <w:rPr>
                <w:rFonts w:ascii="Arial" w:hAnsi="Arial" w:cs="Arial"/>
              </w:rPr>
              <w:t xml:space="preserve">High School </w:t>
            </w:r>
            <w:r w:rsidR="006A34A9">
              <w:rPr>
                <w:rFonts w:ascii="Arial" w:hAnsi="Arial" w:cs="Arial"/>
              </w:rPr>
              <w:t>S</w:t>
            </w:r>
            <w:r w:rsidR="00AE3F94" w:rsidRPr="005D2A79">
              <w:rPr>
                <w:rFonts w:ascii="Arial" w:hAnsi="Arial" w:cs="Arial"/>
              </w:rPr>
              <w:t xml:space="preserve">tudent </w:t>
            </w:r>
            <w:r w:rsidR="006A34A9">
              <w:rPr>
                <w:rFonts w:ascii="Arial" w:hAnsi="Arial" w:cs="Arial"/>
              </w:rPr>
              <w:t>C</w:t>
            </w:r>
            <w:r w:rsidR="00AE3F94" w:rsidRPr="005D2A79">
              <w:rPr>
                <w:rFonts w:ascii="Arial" w:hAnsi="Arial" w:cs="Arial"/>
              </w:rPr>
              <w:t>ounts</w:t>
            </w:r>
          </w:p>
        </w:tc>
        <w:tc>
          <w:tcPr>
            <w:tcW w:w="4140" w:type="dxa"/>
          </w:tcPr>
          <w:p w:rsidR="003F757F" w:rsidRPr="005D2A79" w:rsidRDefault="00C57544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Pupil Projections submitted to TEA each biennium and used during the appropriations process</w:t>
            </w:r>
          </w:p>
        </w:tc>
        <w:tc>
          <w:tcPr>
            <w:tcW w:w="1980" w:type="dxa"/>
          </w:tcPr>
          <w:p w:rsidR="003F757F" w:rsidRPr="005D2A79" w:rsidRDefault="003F757F" w:rsidP="00D411C3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Adjusted</w:t>
            </w:r>
            <w:r w:rsidR="006A34A9">
              <w:rPr>
                <w:rFonts w:ascii="Arial" w:hAnsi="Arial" w:cs="Arial"/>
              </w:rPr>
              <w:t xml:space="preserve"> each year</w:t>
            </w:r>
            <w:r w:rsidRPr="005D2A79">
              <w:rPr>
                <w:rFonts w:ascii="Arial" w:hAnsi="Arial" w:cs="Arial"/>
              </w:rPr>
              <w:t xml:space="preserve"> in March </w:t>
            </w:r>
            <w:r w:rsidR="00D35D62">
              <w:rPr>
                <w:rFonts w:ascii="Arial" w:hAnsi="Arial" w:cs="Arial"/>
              </w:rPr>
              <w:t>based on</w:t>
            </w:r>
            <w:r w:rsidR="00D411C3">
              <w:rPr>
                <w:rFonts w:ascii="Arial" w:hAnsi="Arial" w:cs="Arial"/>
              </w:rPr>
              <w:t xml:space="preserve"> prior year data and </w:t>
            </w:r>
            <w:r w:rsidR="00D35D62">
              <w:rPr>
                <w:rFonts w:ascii="Arial" w:hAnsi="Arial" w:cs="Arial"/>
              </w:rPr>
              <w:t xml:space="preserve">enrollment growth percentage </w:t>
            </w:r>
            <w:r w:rsidRPr="005D2A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3F757F" w:rsidRPr="005D2A79" w:rsidRDefault="00AE3F94" w:rsidP="000C3C62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 xml:space="preserve">Summer PEIMS ADA count </w:t>
            </w:r>
          </w:p>
        </w:tc>
        <w:tc>
          <w:tcPr>
            <w:tcW w:w="1980" w:type="dxa"/>
          </w:tcPr>
          <w:p w:rsidR="003F757F" w:rsidRPr="005D2A79" w:rsidRDefault="006A34A9" w:rsidP="00CC3EFF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Near-</w:t>
            </w:r>
            <w:r w:rsidR="00C16ADA">
              <w:rPr>
                <w:rFonts w:ascii="Arial" w:hAnsi="Arial" w:cs="Arial"/>
              </w:rPr>
              <w:t>Final</w:t>
            </w:r>
          </w:p>
        </w:tc>
      </w:tr>
      <w:tr w:rsidR="003F757F" w:rsidTr="00136DDD">
        <w:trPr>
          <w:cnfStyle w:val="000000100000"/>
        </w:trPr>
        <w:tc>
          <w:tcPr>
            <w:cnfStyle w:val="001000000000"/>
            <w:tcW w:w="4068" w:type="dxa"/>
          </w:tcPr>
          <w:p w:rsidR="003F757F" w:rsidRPr="005D2A79" w:rsidRDefault="003F757F" w:rsidP="00EC7E81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Compensatory Education Students</w:t>
            </w:r>
          </w:p>
        </w:tc>
        <w:tc>
          <w:tcPr>
            <w:tcW w:w="4140" w:type="dxa"/>
          </w:tcPr>
          <w:p w:rsidR="003F757F" w:rsidRPr="005D2A79" w:rsidRDefault="00C57544" w:rsidP="00136DDD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Pupil Projections submitted to TEA each biennium and used during the appropriations process</w:t>
            </w:r>
            <w:r>
              <w:rPr>
                <w:rFonts w:ascii="Arial" w:hAnsi="Arial" w:cs="Arial"/>
              </w:rPr>
              <w:t>.</w:t>
            </w:r>
            <w:r w:rsidRPr="005D2A79">
              <w:rPr>
                <w:rFonts w:ascii="Arial" w:hAnsi="Arial" w:cs="Arial"/>
              </w:rPr>
              <w:t xml:space="preserve"> </w:t>
            </w:r>
            <w:r w:rsidR="003F757F" w:rsidRPr="005D2A79">
              <w:rPr>
                <w:rFonts w:ascii="Arial" w:hAnsi="Arial" w:cs="Arial"/>
              </w:rPr>
              <w:t xml:space="preserve">Updated in </w:t>
            </w:r>
            <w:r w:rsidR="00136DDD">
              <w:rPr>
                <w:rFonts w:ascii="Arial" w:hAnsi="Arial" w:cs="Arial"/>
              </w:rPr>
              <w:t>January/February</w:t>
            </w:r>
            <w:r w:rsidR="003F757F" w:rsidRPr="005D2A79">
              <w:rPr>
                <w:rFonts w:ascii="Arial" w:hAnsi="Arial" w:cs="Arial"/>
              </w:rPr>
              <w:t xml:space="preserve"> </w:t>
            </w:r>
            <w:r w:rsidR="00C16ADA">
              <w:rPr>
                <w:rFonts w:ascii="Arial" w:hAnsi="Arial" w:cs="Arial"/>
              </w:rPr>
              <w:t>with</w:t>
            </w:r>
            <w:r w:rsidR="006A34A9">
              <w:rPr>
                <w:rFonts w:ascii="Arial" w:hAnsi="Arial" w:cs="Arial"/>
              </w:rPr>
              <w:t xml:space="preserve"> prior-</w:t>
            </w:r>
            <w:r w:rsidR="003F757F" w:rsidRPr="005D2A79">
              <w:rPr>
                <w:rFonts w:ascii="Arial" w:hAnsi="Arial" w:cs="Arial"/>
              </w:rPr>
              <w:t>year</w:t>
            </w:r>
            <w:r w:rsidR="004B1E6A">
              <w:rPr>
                <w:rFonts w:ascii="Arial" w:hAnsi="Arial" w:cs="Arial"/>
              </w:rPr>
              <w:t xml:space="preserve"> free and reduced price lunch </w:t>
            </w:r>
            <w:r w:rsidR="00136DDD">
              <w:rPr>
                <w:rFonts w:ascii="Arial" w:hAnsi="Arial" w:cs="Arial"/>
              </w:rPr>
              <w:t xml:space="preserve">counts </w:t>
            </w:r>
            <w:r w:rsidR="003F757F" w:rsidRPr="005D2A79">
              <w:rPr>
                <w:rFonts w:ascii="Arial" w:hAnsi="Arial" w:cs="Arial"/>
              </w:rPr>
              <w:t>from</w:t>
            </w:r>
            <w:r w:rsidR="00C16ADA">
              <w:rPr>
                <w:rFonts w:ascii="Arial" w:hAnsi="Arial" w:cs="Arial"/>
              </w:rPr>
              <w:t xml:space="preserve"> the</w:t>
            </w:r>
            <w:r w:rsidR="003F757F" w:rsidRPr="005D2A79">
              <w:rPr>
                <w:rFonts w:ascii="Arial" w:hAnsi="Arial" w:cs="Arial"/>
              </w:rPr>
              <w:t xml:space="preserve"> </w:t>
            </w:r>
            <w:r w:rsidR="00C16ADA">
              <w:rPr>
                <w:rFonts w:ascii="Arial" w:hAnsi="Arial" w:cs="Arial"/>
              </w:rPr>
              <w:t>D</w:t>
            </w:r>
            <w:r w:rsidR="003F757F" w:rsidRPr="005D2A79">
              <w:rPr>
                <w:rFonts w:ascii="Arial" w:hAnsi="Arial" w:cs="Arial"/>
              </w:rPr>
              <w:t xml:space="preserve">epartment of </w:t>
            </w:r>
            <w:r w:rsidR="00C16ADA">
              <w:rPr>
                <w:rFonts w:ascii="Arial" w:hAnsi="Arial" w:cs="Arial"/>
              </w:rPr>
              <w:t>A</w:t>
            </w:r>
            <w:r w:rsidR="003F757F" w:rsidRPr="005D2A79">
              <w:rPr>
                <w:rFonts w:ascii="Arial" w:hAnsi="Arial" w:cs="Arial"/>
              </w:rPr>
              <w:t>griculture.</w:t>
            </w:r>
          </w:p>
        </w:tc>
        <w:tc>
          <w:tcPr>
            <w:tcW w:w="1980" w:type="dxa"/>
          </w:tcPr>
          <w:p w:rsidR="003F757F" w:rsidRPr="005D2A79" w:rsidRDefault="00C16ADA" w:rsidP="00EC7E81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LPE</w:t>
            </w:r>
            <w:r w:rsidR="00C57544">
              <w:rPr>
                <w:rFonts w:ascii="Arial" w:hAnsi="Arial" w:cs="Arial"/>
              </w:rPr>
              <w:t xml:space="preserve"> </w:t>
            </w:r>
            <w:r w:rsidR="00C57544" w:rsidRPr="005D2A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3F757F" w:rsidRPr="005D2A79" w:rsidRDefault="00136DDD" w:rsidP="00EC7E81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Prior-year free and reduced price lunch counts from the Department of Agriculture</w:t>
            </w:r>
          </w:p>
        </w:tc>
        <w:tc>
          <w:tcPr>
            <w:tcW w:w="1980" w:type="dxa"/>
          </w:tcPr>
          <w:p w:rsidR="003F757F" w:rsidRPr="005D2A79" w:rsidRDefault="00136DDD" w:rsidP="00EC7E81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DPE</w:t>
            </w:r>
          </w:p>
        </w:tc>
      </w:tr>
      <w:tr w:rsidR="00AE3F94" w:rsidTr="00136DDD">
        <w:tc>
          <w:tcPr>
            <w:cnfStyle w:val="001000000000"/>
            <w:tcW w:w="4068" w:type="dxa"/>
          </w:tcPr>
          <w:p w:rsidR="003F757F" w:rsidRPr="005D2A79" w:rsidRDefault="008A3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Prior-</w:t>
            </w:r>
            <w:r w:rsidR="003F757F" w:rsidRPr="005D2A79">
              <w:rPr>
                <w:rFonts w:ascii="Arial" w:hAnsi="Arial" w:cs="Arial"/>
              </w:rPr>
              <w:t>Year CPTD Value (</w:t>
            </w:r>
            <w:r w:rsidR="00EC0123">
              <w:rPr>
                <w:rFonts w:ascii="Arial" w:hAnsi="Arial" w:cs="Arial"/>
              </w:rPr>
              <w:t xml:space="preserve">sometimes called </w:t>
            </w:r>
            <w:r w:rsidR="003F757F" w:rsidRPr="005D2A79">
              <w:rPr>
                <w:rFonts w:ascii="Arial" w:hAnsi="Arial" w:cs="Arial"/>
              </w:rPr>
              <w:t>State Funding Value)</w:t>
            </w:r>
          </w:p>
          <w:p w:rsidR="003F757F" w:rsidRPr="005D2A79" w:rsidRDefault="003F757F" w:rsidP="006A34A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140" w:type="dxa"/>
          </w:tcPr>
          <w:p w:rsidR="003F757F" w:rsidRPr="005D2A79" w:rsidRDefault="000C3C62" w:rsidP="008A3544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CPTD value from the comptroller</w:t>
            </w:r>
            <w:r w:rsidR="008A3544">
              <w:rPr>
                <w:rFonts w:ascii="Arial" w:hAnsi="Arial" w:cs="Arial"/>
              </w:rPr>
              <w:t xml:space="preserve"> is</w:t>
            </w:r>
            <w:r>
              <w:rPr>
                <w:rFonts w:ascii="Arial" w:hAnsi="Arial" w:cs="Arial"/>
              </w:rPr>
              <w:t xml:space="preserve"> used in the first year of the biennium.  In the second year of the biennium, </w:t>
            </w:r>
            <w:r w:rsidR="005D2A79" w:rsidRPr="005D2A79">
              <w:rPr>
                <w:rFonts w:ascii="Arial" w:hAnsi="Arial" w:cs="Arial"/>
              </w:rPr>
              <w:t>LPE v</w:t>
            </w:r>
            <w:r w:rsidR="00EC7E81" w:rsidRPr="005D2A79">
              <w:rPr>
                <w:rFonts w:ascii="Arial" w:hAnsi="Arial" w:cs="Arial"/>
              </w:rPr>
              <w:t>alues correspond to the estimates used during the appropriations process.  In accordance with TEC 42.253(b), actual values may be substituted for LPE estimates in the second year of the biennium</w:t>
            </w:r>
            <w:r w:rsidR="00C57544">
              <w:rPr>
                <w:rFonts w:ascii="Arial" w:hAnsi="Arial" w:cs="Arial"/>
              </w:rPr>
              <w:t xml:space="preserve"> when they are higher than estimated</w:t>
            </w:r>
            <w:r w:rsidR="00EC7E81" w:rsidRPr="005D2A79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1980" w:type="dxa"/>
          </w:tcPr>
          <w:p w:rsidR="003F757F" w:rsidRPr="005D2A79" w:rsidRDefault="00EC7E81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Final CPTD values are taken from comptroller’s property tax division property value study.</w:t>
            </w:r>
          </w:p>
        </w:tc>
        <w:tc>
          <w:tcPr>
            <w:tcW w:w="1890" w:type="dxa"/>
          </w:tcPr>
          <w:p w:rsidR="003F757F" w:rsidRPr="005D2A79" w:rsidRDefault="00C16AD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DPE</w:t>
            </w:r>
          </w:p>
        </w:tc>
        <w:tc>
          <w:tcPr>
            <w:tcW w:w="1980" w:type="dxa"/>
          </w:tcPr>
          <w:p w:rsidR="003F757F" w:rsidRPr="005D2A79" w:rsidRDefault="00C16AD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DPE</w:t>
            </w:r>
          </w:p>
        </w:tc>
      </w:tr>
      <w:tr w:rsidR="00AE3F94" w:rsidTr="00136DDD">
        <w:trPr>
          <w:cnfStyle w:val="000000100000"/>
        </w:trPr>
        <w:tc>
          <w:tcPr>
            <w:cnfStyle w:val="001000000000"/>
            <w:tcW w:w="4068" w:type="dxa"/>
          </w:tcPr>
          <w:p w:rsidR="003F757F" w:rsidRPr="005D2A79" w:rsidRDefault="003F757F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Compressed Tax Rate</w:t>
            </w:r>
          </w:p>
        </w:tc>
        <w:tc>
          <w:tcPr>
            <w:tcW w:w="4140" w:type="dxa"/>
          </w:tcPr>
          <w:p w:rsidR="003F757F" w:rsidRPr="005D2A79" w:rsidRDefault="003F757F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2005 Tax Rate * State Compression Percentage (se</w:t>
            </w:r>
            <w:r w:rsidR="008A3544">
              <w:rPr>
                <w:rFonts w:ascii="Arial" w:hAnsi="Arial" w:cs="Arial"/>
              </w:rPr>
              <w:t xml:space="preserve">t in appropriations, </w:t>
            </w:r>
            <w:r w:rsidR="008A3544">
              <w:rPr>
                <w:rFonts w:ascii="Arial" w:hAnsi="Arial" w:cs="Arial"/>
              </w:rPr>
              <w:lastRenderedPageBreak/>
              <w:t xml:space="preserve">currently </w:t>
            </w:r>
            <w:r w:rsidRPr="005D2A79">
              <w:rPr>
                <w:rFonts w:ascii="Arial" w:hAnsi="Arial" w:cs="Arial"/>
              </w:rPr>
              <w:t>66</w:t>
            </w:r>
            <w:r w:rsidR="008A3544">
              <w:rPr>
                <w:rFonts w:ascii="Arial" w:hAnsi="Arial" w:cs="Arial"/>
              </w:rPr>
              <w:t>.</w:t>
            </w:r>
            <w:r w:rsidRPr="005D2A79">
              <w:rPr>
                <w:rFonts w:ascii="Arial" w:hAnsi="Arial" w:cs="Arial"/>
              </w:rPr>
              <w:t>67</w:t>
            </w:r>
            <w:r w:rsidR="008A3544">
              <w:rPr>
                <w:rFonts w:ascii="Arial" w:hAnsi="Arial" w:cs="Arial"/>
              </w:rPr>
              <w:t>%</w:t>
            </w:r>
            <w:r w:rsidRPr="005D2A79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</w:tcPr>
          <w:p w:rsidR="003F757F" w:rsidRPr="005D2A79" w:rsidRDefault="003F757F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lastRenderedPageBreak/>
              <w:t>Same as LPE</w:t>
            </w:r>
          </w:p>
        </w:tc>
        <w:tc>
          <w:tcPr>
            <w:tcW w:w="1890" w:type="dxa"/>
          </w:tcPr>
          <w:p w:rsidR="003F757F" w:rsidRPr="005D2A79" w:rsidRDefault="003F757F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Same as LPE</w:t>
            </w:r>
          </w:p>
        </w:tc>
        <w:tc>
          <w:tcPr>
            <w:tcW w:w="1980" w:type="dxa"/>
          </w:tcPr>
          <w:p w:rsidR="003F757F" w:rsidRPr="005D2A79" w:rsidRDefault="003F757F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Same as LPE</w:t>
            </w:r>
          </w:p>
        </w:tc>
      </w:tr>
      <w:tr w:rsidR="00AE3F94" w:rsidTr="00136DDD">
        <w:tc>
          <w:tcPr>
            <w:cnfStyle w:val="001000000000"/>
            <w:tcW w:w="4068" w:type="dxa"/>
          </w:tcPr>
          <w:p w:rsidR="003F757F" w:rsidRPr="005D2A79" w:rsidRDefault="003F757F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lastRenderedPageBreak/>
              <w:t>Current Year Tax Rate</w:t>
            </w:r>
          </w:p>
        </w:tc>
        <w:tc>
          <w:tcPr>
            <w:tcW w:w="4140" w:type="dxa"/>
          </w:tcPr>
          <w:p w:rsidR="003F757F" w:rsidRPr="005D2A79" w:rsidRDefault="008A3544" w:rsidP="000D6274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prior-</w:t>
            </w:r>
            <w:r w:rsidR="003F757F" w:rsidRPr="005D2A79">
              <w:rPr>
                <w:rFonts w:ascii="Arial" w:hAnsi="Arial" w:cs="Arial"/>
              </w:rPr>
              <w:t>year tax rate on initial SOF.  Updated in January</w:t>
            </w:r>
            <w:r w:rsidR="0079612D">
              <w:rPr>
                <w:rFonts w:ascii="Arial" w:hAnsi="Arial" w:cs="Arial"/>
              </w:rPr>
              <w:t>/February</w:t>
            </w:r>
            <w:r w:rsidR="003F757F" w:rsidRPr="005D2A79">
              <w:rPr>
                <w:rFonts w:ascii="Arial" w:hAnsi="Arial" w:cs="Arial"/>
              </w:rPr>
              <w:t xml:space="preserve"> with self report data from the Comptroller’s Property Tax Division.</w:t>
            </w:r>
          </w:p>
        </w:tc>
        <w:tc>
          <w:tcPr>
            <w:tcW w:w="1980" w:type="dxa"/>
          </w:tcPr>
          <w:p w:rsidR="003F757F" w:rsidRPr="005D2A79" w:rsidRDefault="003F757F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Same as LPE</w:t>
            </w:r>
          </w:p>
        </w:tc>
        <w:tc>
          <w:tcPr>
            <w:tcW w:w="1890" w:type="dxa"/>
          </w:tcPr>
          <w:p w:rsidR="003F757F" w:rsidRPr="005D2A79" w:rsidRDefault="00C8303E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LPE</w:t>
            </w:r>
          </w:p>
        </w:tc>
        <w:tc>
          <w:tcPr>
            <w:tcW w:w="1980" w:type="dxa"/>
          </w:tcPr>
          <w:p w:rsidR="003F757F" w:rsidRPr="005D2A79" w:rsidRDefault="00301C9F" w:rsidP="00301C9F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LPE</w:t>
            </w:r>
          </w:p>
        </w:tc>
      </w:tr>
      <w:tr w:rsidR="003F757F" w:rsidTr="00136DDD">
        <w:trPr>
          <w:cnfStyle w:val="000000100000"/>
        </w:trPr>
        <w:tc>
          <w:tcPr>
            <w:cnfStyle w:val="001000000000"/>
            <w:tcW w:w="4068" w:type="dxa"/>
          </w:tcPr>
          <w:p w:rsidR="00E5348D" w:rsidRPr="005D2A79" w:rsidRDefault="003F757F" w:rsidP="00136DDD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Current Year M&amp;O Collections</w:t>
            </w:r>
            <w:r w:rsidRPr="005D2A79">
              <w:rPr>
                <w:rFonts w:ascii="Arial" w:hAnsi="Arial" w:cs="Arial"/>
                <w:b w:val="0"/>
              </w:rPr>
              <w:t xml:space="preserve"> Deductions will be made for payments into a</w:t>
            </w:r>
            <w:r w:rsidR="00C8303E">
              <w:rPr>
                <w:rFonts w:ascii="Arial" w:hAnsi="Arial" w:cs="Arial"/>
                <w:b w:val="0"/>
              </w:rPr>
              <w:t>n IFA lease-purchase arrangement and payments into a</w:t>
            </w:r>
            <w:r w:rsidRPr="005D2A79">
              <w:rPr>
                <w:rFonts w:ascii="Arial" w:hAnsi="Arial" w:cs="Arial"/>
                <w:b w:val="0"/>
              </w:rPr>
              <w:t xml:space="preserve"> T</w:t>
            </w:r>
            <w:r w:rsidR="00C8303E">
              <w:rPr>
                <w:rFonts w:ascii="Arial" w:hAnsi="Arial" w:cs="Arial"/>
                <w:b w:val="0"/>
              </w:rPr>
              <w:t xml:space="preserve">ax </w:t>
            </w:r>
            <w:r w:rsidRPr="005D2A79">
              <w:rPr>
                <w:rFonts w:ascii="Arial" w:hAnsi="Arial" w:cs="Arial"/>
                <w:b w:val="0"/>
              </w:rPr>
              <w:t>I</w:t>
            </w:r>
            <w:r w:rsidR="00C8303E">
              <w:rPr>
                <w:rFonts w:ascii="Arial" w:hAnsi="Arial" w:cs="Arial"/>
                <w:b w:val="0"/>
              </w:rPr>
              <w:t xml:space="preserve">ncrement </w:t>
            </w:r>
            <w:r w:rsidRPr="005D2A79">
              <w:rPr>
                <w:rFonts w:ascii="Arial" w:hAnsi="Arial" w:cs="Arial"/>
                <w:b w:val="0"/>
              </w:rPr>
              <w:t>R</w:t>
            </w:r>
            <w:r w:rsidR="00C8303E">
              <w:rPr>
                <w:rFonts w:ascii="Arial" w:hAnsi="Arial" w:cs="Arial"/>
                <w:b w:val="0"/>
              </w:rPr>
              <w:t xml:space="preserve">einvestment </w:t>
            </w:r>
            <w:r w:rsidRPr="005D2A79">
              <w:rPr>
                <w:rFonts w:ascii="Arial" w:hAnsi="Arial" w:cs="Arial"/>
                <w:b w:val="0"/>
              </w:rPr>
              <w:t>Z</w:t>
            </w:r>
            <w:r w:rsidR="00C8303E">
              <w:rPr>
                <w:rFonts w:ascii="Arial" w:hAnsi="Arial" w:cs="Arial"/>
                <w:b w:val="0"/>
              </w:rPr>
              <w:t xml:space="preserve">one (TIRZ).  These payments </w:t>
            </w:r>
            <w:r w:rsidR="00EC0123">
              <w:rPr>
                <w:rFonts w:ascii="Arial" w:hAnsi="Arial" w:cs="Arial"/>
                <w:b w:val="0"/>
              </w:rPr>
              <w:t xml:space="preserve">from the district </w:t>
            </w:r>
            <w:r w:rsidR="00C8303E">
              <w:rPr>
                <w:rFonts w:ascii="Arial" w:hAnsi="Arial" w:cs="Arial"/>
                <w:b w:val="0"/>
              </w:rPr>
              <w:t xml:space="preserve">into a TIRZ are </w:t>
            </w:r>
            <w:r w:rsidR="00EC0123">
              <w:rPr>
                <w:rFonts w:ascii="Arial" w:hAnsi="Arial" w:cs="Arial"/>
                <w:b w:val="0"/>
              </w:rPr>
              <w:t>sometimes</w:t>
            </w:r>
            <w:r w:rsidR="00C8303E">
              <w:rPr>
                <w:rFonts w:ascii="Arial" w:hAnsi="Arial" w:cs="Arial"/>
                <w:b w:val="0"/>
              </w:rPr>
              <w:t xml:space="preserve"> called Tax Increment Financing (TIF) payments.</w:t>
            </w:r>
            <w:r w:rsidRPr="005D2A79">
              <w:rPr>
                <w:rFonts w:ascii="Arial" w:hAnsi="Arial" w:cs="Arial"/>
                <w:b w:val="0"/>
              </w:rPr>
              <w:t xml:space="preserve"> </w:t>
            </w:r>
            <w:r w:rsidR="00C8303E">
              <w:rPr>
                <w:rFonts w:ascii="Arial" w:hAnsi="Arial" w:cs="Arial"/>
                <w:b w:val="0"/>
              </w:rPr>
              <w:t>T</w:t>
            </w:r>
            <w:r w:rsidRPr="005D2A79">
              <w:rPr>
                <w:rFonts w:ascii="Arial" w:hAnsi="Arial" w:cs="Arial"/>
                <w:b w:val="0"/>
              </w:rPr>
              <w:t xml:space="preserve">he </w:t>
            </w:r>
            <w:r w:rsidR="00C8303E">
              <w:rPr>
                <w:rFonts w:ascii="Arial" w:hAnsi="Arial" w:cs="Arial"/>
                <w:b w:val="0"/>
              </w:rPr>
              <w:t>TIF</w:t>
            </w:r>
            <w:r w:rsidRPr="005D2A79">
              <w:rPr>
                <w:rFonts w:ascii="Arial" w:hAnsi="Arial" w:cs="Arial"/>
                <w:b w:val="0"/>
              </w:rPr>
              <w:t xml:space="preserve"> payment on the J-1 schedule should include the entire payment to the TIRZ that is related</w:t>
            </w:r>
            <w:r w:rsidR="00C8303E">
              <w:rPr>
                <w:rFonts w:ascii="Arial" w:hAnsi="Arial" w:cs="Arial"/>
                <w:b w:val="0"/>
              </w:rPr>
              <w:t xml:space="preserve"> to the district’s current-</w:t>
            </w:r>
            <w:r w:rsidRPr="005D2A79">
              <w:rPr>
                <w:rFonts w:ascii="Arial" w:hAnsi="Arial" w:cs="Arial"/>
                <w:b w:val="0"/>
              </w:rPr>
              <w:t xml:space="preserve">year tax rate.  It should not deduct any funds received through the TIRZ for school district projects, and it should not include a payment into the TIRZ that is related to the state supplemental </w:t>
            </w:r>
            <w:r w:rsidR="00C8303E">
              <w:rPr>
                <w:rFonts w:ascii="Arial" w:hAnsi="Arial" w:cs="Arial"/>
                <w:b w:val="0"/>
              </w:rPr>
              <w:t>TIF</w:t>
            </w:r>
            <w:r w:rsidRPr="005D2A79">
              <w:rPr>
                <w:rFonts w:ascii="Arial" w:hAnsi="Arial" w:cs="Arial"/>
                <w:b w:val="0"/>
              </w:rPr>
              <w:t xml:space="preserve"> payment rather than the district’s current-year tax rate.  </w:t>
            </w:r>
            <w:r w:rsidR="00EC0123">
              <w:rPr>
                <w:rFonts w:ascii="Arial" w:hAnsi="Arial" w:cs="Arial"/>
                <w:b w:val="0"/>
              </w:rPr>
              <w:t xml:space="preserve">Tax collections and TIRZ payments should reflect 12 months, even if the district changed fiscal years. </w:t>
            </w:r>
            <w:r w:rsidRPr="005D2A79">
              <w:rPr>
                <w:rFonts w:ascii="Arial" w:hAnsi="Arial" w:cs="Arial"/>
                <w:b w:val="0"/>
              </w:rPr>
              <w:t xml:space="preserve">The calculation showing the deduction of the local share for an IFA lease purchase arrangement and the </w:t>
            </w:r>
            <w:r w:rsidR="00C8303E">
              <w:rPr>
                <w:rFonts w:ascii="Arial" w:hAnsi="Arial" w:cs="Arial"/>
                <w:b w:val="0"/>
              </w:rPr>
              <w:t xml:space="preserve">TIF </w:t>
            </w:r>
            <w:r w:rsidRPr="005D2A79">
              <w:rPr>
                <w:rFonts w:ascii="Arial" w:hAnsi="Arial" w:cs="Arial"/>
                <w:b w:val="0"/>
              </w:rPr>
              <w:t>payment can be seen on the M&amp;O detail report to the SOF.</w:t>
            </w:r>
          </w:p>
        </w:tc>
        <w:tc>
          <w:tcPr>
            <w:tcW w:w="4140" w:type="dxa"/>
          </w:tcPr>
          <w:p w:rsidR="003F757F" w:rsidRPr="005D2A79" w:rsidRDefault="003F757F" w:rsidP="00C8303E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 xml:space="preserve">In the first year of the biennium, projected property value growth rates established in appropriations process are applied to prior-year </w:t>
            </w:r>
            <w:r w:rsidR="00540C46">
              <w:rPr>
                <w:rFonts w:ascii="Arial" w:hAnsi="Arial" w:cs="Arial"/>
              </w:rPr>
              <w:t xml:space="preserve">DPE </w:t>
            </w:r>
            <w:r w:rsidRPr="005D2A79">
              <w:rPr>
                <w:rFonts w:ascii="Arial" w:hAnsi="Arial" w:cs="Arial"/>
              </w:rPr>
              <w:t xml:space="preserve">tax collections.  In the second year of the biennium, two years of estimated property value growth rates from the appropriations process are applied to </w:t>
            </w:r>
            <w:r w:rsidR="00540C46">
              <w:rPr>
                <w:rFonts w:ascii="Arial" w:hAnsi="Arial" w:cs="Arial"/>
              </w:rPr>
              <w:t xml:space="preserve">DPE </w:t>
            </w:r>
            <w:r w:rsidRPr="005D2A79">
              <w:rPr>
                <w:rFonts w:ascii="Arial" w:hAnsi="Arial" w:cs="Arial"/>
              </w:rPr>
              <w:t xml:space="preserve">tax collections from the second year of the previous biennium. </w:t>
            </w:r>
            <w:r w:rsidR="00C757D0">
              <w:rPr>
                <w:rFonts w:ascii="Arial" w:hAnsi="Arial" w:cs="Arial"/>
              </w:rPr>
              <w:t>Updated in January/February to reflect changes in tax rates from the Comptroller’s Property Tax Division (see Current Year Tax Rate).</w:t>
            </w:r>
          </w:p>
        </w:tc>
        <w:tc>
          <w:tcPr>
            <w:tcW w:w="1980" w:type="dxa"/>
          </w:tcPr>
          <w:p w:rsidR="003F757F" w:rsidRPr="005D2A79" w:rsidRDefault="003F757F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Updated in March with PEIMS budgeted tax collections</w:t>
            </w:r>
          </w:p>
        </w:tc>
        <w:tc>
          <w:tcPr>
            <w:tcW w:w="1890" w:type="dxa"/>
          </w:tcPr>
          <w:p w:rsidR="003F757F" w:rsidRPr="005D2A79" w:rsidRDefault="003F757F" w:rsidP="005C7221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Updated in September with data from the Tax Information Survey</w:t>
            </w:r>
            <w:r w:rsidR="0070731B" w:rsidRPr="005D2A79">
              <w:rPr>
                <w:rFonts w:ascii="Arial" w:hAnsi="Arial" w:cs="Arial"/>
              </w:rPr>
              <w:t xml:space="preserve"> if submitted, PEIMS budget data if no tax survey data </w:t>
            </w:r>
            <w:r w:rsidR="005C7221">
              <w:rPr>
                <w:rFonts w:ascii="Arial" w:hAnsi="Arial" w:cs="Arial"/>
              </w:rPr>
              <w:t xml:space="preserve">was </w:t>
            </w:r>
            <w:r w:rsidR="0070731B" w:rsidRPr="005D2A79">
              <w:rPr>
                <w:rFonts w:ascii="Arial" w:hAnsi="Arial" w:cs="Arial"/>
              </w:rPr>
              <w:t>submitted.</w:t>
            </w:r>
          </w:p>
        </w:tc>
        <w:tc>
          <w:tcPr>
            <w:tcW w:w="1980" w:type="dxa"/>
          </w:tcPr>
          <w:p w:rsidR="003F757F" w:rsidRPr="005D2A79" w:rsidRDefault="003F757F">
            <w:pPr>
              <w:cnfStyle w:val="0000001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Updated in April with data from the J-1 schedule from the district’s Annual Financial Report</w:t>
            </w:r>
          </w:p>
        </w:tc>
      </w:tr>
      <w:tr w:rsidR="00AE3F94" w:rsidTr="00136DDD">
        <w:tc>
          <w:tcPr>
            <w:cnfStyle w:val="001000000000"/>
            <w:tcW w:w="4068" w:type="dxa"/>
          </w:tcPr>
          <w:p w:rsidR="00AE3F94" w:rsidRPr="005D2A79" w:rsidRDefault="00AE3F94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>Current Year I&amp;S Collections</w:t>
            </w:r>
          </w:p>
        </w:tc>
        <w:tc>
          <w:tcPr>
            <w:tcW w:w="4140" w:type="dxa"/>
          </w:tcPr>
          <w:p w:rsidR="00AE3F94" w:rsidRPr="005D2A79" w:rsidRDefault="000C3C62" w:rsidP="00EC7E81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 xml:space="preserve">In the first year of the biennium, projected property value growth rates established in appropriations process are applied to prior-year </w:t>
            </w:r>
            <w:r>
              <w:rPr>
                <w:rFonts w:ascii="Arial" w:hAnsi="Arial" w:cs="Arial"/>
              </w:rPr>
              <w:t xml:space="preserve">DPE </w:t>
            </w:r>
            <w:r w:rsidRPr="005D2A79">
              <w:rPr>
                <w:rFonts w:ascii="Arial" w:hAnsi="Arial" w:cs="Arial"/>
              </w:rPr>
              <w:t xml:space="preserve">tax </w:t>
            </w:r>
            <w:r w:rsidRPr="005D2A79">
              <w:rPr>
                <w:rFonts w:ascii="Arial" w:hAnsi="Arial" w:cs="Arial"/>
              </w:rPr>
              <w:lastRenderedPageBreak/>
              <w:t xml:space="preserve">collections.  In the second year of the biennium, two years of estimated property value growth rates from the appropriations process are applied to </w:t>
            </w:r>
            <w:r>
              <w:rPr>
                <w:rFonts w:ascii="Arial" w:hAnsi="Arial" w:cs="Arial"/>
              </w:rPr>
              <w:t xml:space="preserve">DPE </w:t>
            </w:r>
            <w:r w:rsidRPr="005D2A79">
              <w:rPr>
                <w:rFonts w:ascii="Arial" w:hAnsi="Arial" w:cs="Arial"/>
              </w:rPr>
              <w:t>tax collections from the second year of the previous biennium.</w:t>
            </w:r>
          </w:p>
        </w:tc>
        <w:tc>
          <w:tcPr>
            <w:tcW w:w="1980" w:type="dxa"/>
          </w:tcPr>
          <w:p w:rsidR="00AE3F94" w:rsidRPr="005D2A79" w:rsidRDefault="00AE3F94" w:rsidP="00EC7E81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lastRenderedPageBreak/>
              <w:t>Updated in March with PEIMS budgeted tax collections</w:t>
            </w:r>
          </w:p>
        </w:tc>
        <w:tc>
          <w:tcPr>
            <w:tcW w:w="1890" w:type="dxa"/>
          </w:tcPr>
          <w:p w:rsidR="00AE3F94" w:rsidRPr="005D2A79" w:rsidRDefault="00AE3F94" w:rsidP="00EC7E81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t xml:space="preserve">Updated in September with data from the Tax Information </w:t>
            </w:r>
            <w:r w:rsidRPr="005D2A79">
              <w:rPr>
                <w:rFonts w:ascii="Arial" w:hAnsi="Arial" w:cs="Arial"/>
              </w:rPr>
              <w:lastRenderedPageBreak/>
              <w:t>Survey</w:t>
            </w:r>
          </w:p>
        </w:tc>
        <w:tc>
          <w:tcPr>
            <w:tcW w:w="1980" w:type="dxa"/>
          </w:tcPr>
          <w:p w:rsidR="00AE3F94" w:rsidRPr="005D2A79" w:rsidRDefault="00AE3F94" w:rsidP="00EC7E81">
            <w:pPr>
              <w:cnfStyle w:val="000000000000"/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lastRenderedPageBreak/>
              <w:t xml:space="preserve">Updated in April with data from the J-1 schedule from the district’s </w:t>
            </w:r>
            <w:r w:rsidRPr="005D2A79">
              <w:rPr>
                <w:rFonts w:ascii="Arial" w:hAnsi="Arial" w:cs="Arial"/>
              </w:rPr>
              <w:lastRenderedPageBreak/>
              <w:t>Annual Financial Report</w:t>
            </w:r>
          </w:p>
        </w:tc>
      </w:tr>
      <w:tr w:rsidR="00B466C1" w:rsidTr="00136DDD">
        <w:trPr>
          <w:cnfStyle w:val="000000100000"/>
        </w:trPr>
        <w:tc>
          <w:tcPr>
            <w:cnfStyle w:val="001000000000"/>
            <w:tcW w:w="4068" w:type="dxa"/>
          </w:tcPr>
          <w:p w:rsidR="00B466C1" w:rsidRPr="005D2A79" w:rsidRDefault="00B466C1">
            <w:pPr>
              <w:rPr>
                <w:rFonts w:ascii="Arial" w:hAnsi="Arial" w:cs="Arial"/>
              </w:rPr>
            </w:pPr>
            <w:r w:rsidRPr="005D2A79">
              <w:rPr>
                <w:rFonts w:ascii="Arial" w:hAnsi="Arial" w:cs="Arial"/>
              </w:rPr>
              <w:lastRenderedPageBreak/>
              <w:t>Transportation Route Services</w:t>
            </w:r>
          </w:p>
        </w:tc>
        <w:tc>
          <w:tcPr>
            <w:tcW w:w="4140" w:type="dxa"/>
          </w:tcPr>
          <w:p w:rsidR="00B466C1" w:rsidRPr="005D2A79" w:rsidRDefault="00A46606" w:rsidP="00C16AD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LPE uses </w:t>
            </w:r>
            <w:r w:rsidR="00C16ADA">
              <w:rPr>
                <w:rFonts w:ascii="Arial" w:hAnsi="Arial" w:cs="Arial"/>
              </w:rPr>
              <w:t xml:space="preserve">most recent final </w:t>
            </w:r>
            <w:r>
              <w:rPr>
                <w:rFonts w:ascii="Arial" w:hAnsi="Arial" w:cs="Arial"/>
              </w:rPr>
              <w:t>transportation allotment</w:t>
            </w:r>
            <w:r w:rsidR="00C16ADA">
              <w:rPr>
                <w:rFonts w:ascii="Arial" w:hAnsi="Arial" w:cs="Arial"/>
              </w:rPr>
              <w:t xml:space="preserve"> based on data submitted through the transportation subsystem</w:t>
            </w:r>
            <w:r>
              <w:rPr>
                <w:rFonts w:ascii="Arial" w:hAnsi="Arial" w:cs="Arial"/>
              </w:rPr>
              <w:t xml:space="preserve">.  Updated in </w:t>
            </w:r>
            <w:r w:rsidR="005C7221">
              <w:rPr>
                <w:rFonts w:ascii="Arial" w:hAnsi="Arial" w:cs="Arial"/>
              </w:rPr>
              <w:t xml:space="preserve">November / </w:t>
            </w:r>
            <w:r>
              <w:rPr>
                <w:rFonts w:ascii="Arial" w:hAnsi="Arial" w:cs="Arial"/>
              </w:rPr>
              <w:t>December with</w:t>
            </w:r>
            <w:r w:rsidR="00C16ADA">
              <w:rPr>
                <w:rFonts w:ascii="Arial" w:hAnsi="Arial" w:cs="Arial"/>
              </w:rPr>
              <w:t xml:space="preserve"> prior-year</w:t>
            </w:r>
            <w:r>
              <w:rPr>
                <w:rFonts w:ascii="Arial" w:hAnsi="Arial" w:cs="Arial"/>
              </w:rPr>
              <w:t xml:space="preserve"> data submitted through the FSP transportation subsystem.</w:t>
            </w:r>
            <w:r w:rsidR="00C16ADA">
              <w:rPr>
                <w:rFonts w:ascii="Arial" w:hAnsi="Arial" w:cs="Arial"/>
              </w:rPr>
              <w:t xml:space="preserve">  Districts with no prior-year data submitted will be set to zero.</w:t>
            </w:r>
          </w:p>
        </w:tc>
        <w:tc>
          <w:tcPr>
            <w:tcW w:w="1980" w:type="dxa"/>
          </w:tcPr>
          <w:p w:rsidR="00B466C1" w:rsidRPr="005D2A79" w:rsidRDefault="00C16ADA" w:rsidP="00EC7E81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LPE</w:t>
            </w:r>
          </w:p>
        </w:tc>
        <w:tc>
          <w:tcPr>
            <w:tcW w:w="1890" w:type="dxa"/>
          </w:tcPr>
          <w:p w:rsidR="00B466C1" w:rsidRPr="005D2A79" w:rsidRDefault="00C16ADA" w:rsidP="00C16ADA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Current-ear d</w:t>
            </w:r>
            <w:r w:rsidR="00A46606">
              <w:rPr>
                <w:rFonts w:ascii="Arial" w:hAnsi="Arial" w:cs="Arial"/>
              </w:rPr>
              <w:t>ata submitted through the FSP transportation subsystem.</w:t>
            </w:r>
            <w:r>
              <w:rPr>
                <w:rFonts w:ascii="Arial" w:hAnsi="Arial" w:cs="Arial"/>
              </w:rPr>
              <w:t xml:space="preserve"> Districts with no data submitted will be set to zero.</w:t>
            </w:r>
          </w:p>
        </w:tc>
        <w:tc>
          <w:tcPr>
            <w:tcW w:w="1980" w:type="dxa"/>
          </w:tcPr>
          <w:p w:rsidR="00B466C1" w:rsidRPr="005D2A79" w:rsidRDefault="00C16ADA" w:rsidP="00EC7E81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Near Final</w:t>
            </w:r>
          </w:p>
        </w:tc>
      </w:tr>
      <w:tr w:rsidR="00C16ADA" w:rsidTr="00136DDD">
        <w:tc>
          <w:tcPr>
            <w:cnfStyle w:val="001000000000"/>
            <w:tcW w:w="4068" w:type="dxa"/>
          </w:tcPr>
          <w:p w:rsidR="00C16ADA" w:rsidRPr="005D2A79" w:rsidRDefault="00C16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Salary</w:t>
            </w:r>
          </w:p>
        </w:tc>
        <w:tc>
          <w:tcPr>
            <w:tcW w:w="4140" w:type="dxa"/>
          </w:tcPr>
          <w:p w:rsidR="00C16ADA" w:rsidRPr="005D2A79" w:rsidRDefault="00C16ADA" w:rsidP="00C16AD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 LPE uses most recent final prior year staff salary allotment based on data submitted through the FSP staff salary subsystem.  Updated in </w:t>
            </w:r>
            <w:r w:rsidR="005C7221">
              <w:rPr>
                <w:rFonts w:ascii="Arial" w:hAnsi="Arial" w:cs="Arial"/>
              </w:rPr>
              <w:t xml:space="preserve">November / </w:t>
            </w:r>
            <w:r>
              <w:rPr>
                <w:rFonts w:ascii="Arial" w:hAnsi="Arial" w:cs="Arial"/>
              </w:rPr>
              <w:t>December with prior-year data submitted through the FSP staff salary subsystem.  Districts with no prior-year data submitted will be set to zero.</w:t>
            </w:r>
          </w:p>
        </w:tc>
        <w:tc>
          <w:tcPr>
            <w:tcW w:w="1980" w:type="dxa"/>
          </w:tcPr>
          <w:p w:rsidR="00C16ADA" w:rsidRPr="005D2A79" w:rsidRDefault="00C16ADA" w:rsidP="00C16AD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LPE</w:t>
            </w:r>
          </w:p>
        </w:tc>
        <w:tc>
          <w:tcPr>
            <w:tcW w:w="1890" w:type="dxa"/>
          </w:tcPr>
          <w:p w:rsidR="00C16ADA" w:rsidRPr="005D2A79" w:rsidRDefault="00C16ADA" w:rsidP="00C16AD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Current-year data submitted through the FSP staff salary subsystem. Districts with no data submitted will be set to zero.</w:t>
            </w:r>
          </w:p>
        </w:tc>
        <w:tc>
          <w:tcPr>
            <w:tcW w:w="1980" w:type="dxa"/>
          </w:tcPr>
          <w:p w:rsidR="00C16ADA" w:rsidRPr="005D2A79" w:rsidRDefault="00C16ADA" w:rsidP="00C16ADA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 as Near Final</w:t>
            </w:r>
          </w:p>
        </w:tc>
      </w:tr>
    </w:tbl>
    <w:p w:rsidR="00701F22" w:rsidRDefault="00701F22"/>
    <w:sectPr w:rsidR="00701F22" w:rsidSect="00AE3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EE" w:rsidRDefault="00A454EE" w:rsidP="00AF17AA">
      <w:pPr>
        <w:spacing w:after="0" w:line="240" w:lineRule="auto"/>
      </w:pPr>
      <w:r>
        <w:separator/>
      </w:r>
    </w:p>
  </w:endnote>
  <w:endnote w:type="continuationSeparator" w:id="0">
    <w:p w:rsidR="00A454EE" w:rsidRDefault="00A454EE" w:rsidP="00AF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C" w:rsidRDefault="00D51B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67"/>
      <w:gridCol w:w="1463"/>
    </w:tblGrid>
    <w:tr w:rsidR="00D51BBC">
      <w:tc>
        <w:tcPr>
          <w:tcW w:w="4500" w:type="pct"/>
          <w:tcBorders>
            <w:top w:val="single" w:sz="4" w:space="0" w:color="000000" w:themeColor="text1"/>
          </w:tcBorders>
        </w:tcPr>
        <w:p w:rsidR="00D51BBC" w:rsidRDefault="00DB4641" w:rsidP="00AF17AA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51BBC">
                <w:t>Texas Education Agency</w:t>
              </w:r>
            </w:sdtContent>
          </w:sdt>
          <w:r w:rsidR="00D51BBC">
            <w:t xml:space="preserve"> | State Funding Division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51BBC" w:rsidRDefault="00DB4641">
          <w:pPr>
            <w:pStyle w:val="Header"/>
            <w:rPr>
              <w:color w:val="FFFFFF" w:themeColor="background1"/>
            </w:rPr>
          </w:pPr>
          <w:fldSimple w:instr=" PAGE   \* MERGEFORMAT ">
            <w:r w:rsidR="000B496C" w:rsidRPr="000B496C">
              <w:rPr>
                <w:noProof/>
                <w:color w:val="FFFFFF" w:themeColor="background1"/>
              </w:rPr>
              <w:t>3</w:t>
            </w:r>
          </w:fldSimple>
        </w:p>
      </w:tc>
    </w:tr>
  </w:tbl>
  <w:p w:rsidR="00D51BBC" w:rsidRDefault="00D51B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C" w:rsidRDefault="00D51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EE" w:rsidRDefault="00A454EE" w:rsidP="00AF17AA">
      <w:pPr>
        <w:spacing w:after="0" w:line="240" w:lineRule="auto"/>
      </w:pPr>
      <w:r>
        <w:separator/>
      </w:r>
    </w:p>
  </w:footnote>
  <w:footnote w:type="continuationSeparator" w:id="0">
    <w:p w:rsidR="00A454EE" w:rsidRDefault="00A454EE" w:rsidP="00AF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C" w:rsidRDefault="00D51B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C" w:rsidRPr="00E37883" w:rsidRDefault="00DB4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6"/>
        <w:szCs w:val="36"/>
      </w:rPr>
    </w:pPr>
    <w:sdt>
      <w:sdtPr>
        <w:rPr>
          <w:rFonts w:asciiTheme="majorHAnsi" w:eastAsiaTheme="majorEastAsia" w:hAnsiTheme="majorHAnsi" w:cstheme="majorBidi"/>
          <w:sz w:val="36"/>
          <w:szCs w:val="36"/>
        </w:rPr>
        <w:id w:val="65765838"/>
        <w:docPartObj>
          <w:docPartGallery w:val="Watermarks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36"/>
            <w:szCs w:val="3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51BBC" w:rsidRPr="00E37883">
          <w:rPr>
            <w:rFonts w:asciiTheme="majorHAnsi" w:eastAsiaTheme="majorEastAsia" w:hAnsiTheme="majorHAnsi" w:cstheme="majorBidi"/>
            <w:sz w:val="32"/>
            <w:szCs w:val="32"/>
          </w:rPr>
          <w:t>FSP Summary of Finances Reports</w:t>
        </w:r>
      </w:sdtContent>
    </w:sdt>
  </w:p>
  <w:p w:rsidR="00D51BBC" w:rsidRDefault="00D51B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C" w:rsidRDefault="00D51B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701F22"/>
    <w:rsid w:val="000012FE"/>
    <w:rsid w:val="000048A1"/>
    <w:rsid w:val="00005042"/>
    <w:rsid w:val="000237AE"/>
    <w:rsid w:val="00051486"/>
    <w:rsid w:val="000A49B9"/>
    <w:rsid w:val="000B496C"/>
    <w:rsid w:val="000C3C62"/>
    <w:rsid w:val="000D2B23"/>
    <w:rsid w:val="000D6274"/>
    <w:rsid w:val="00136DDD"/>
    <w:rsid w:val="00224C5C"/>
    <w:rsid w:val="00245759"/>
    <w:rsid w:val="00252053"/>
    <w:rsid w:val="002B4C38"/>
    <w:rsid w:val="00301C9F"/>
    <w:rsid w:val="003F536F"/>
    <w:rsid w:val="003F757F"/>
    <w:rsid w:val="004B1E6A"/>
    <w:rsid w:val="004C3D29"/>
    <w:rsid w:val="00540C46"/>
    <w:rsid w:val="0056396F"/>
    <w:rsid w:val="005C7221"/>
    <w:rsid w:val="005D2A79"/>
    <w:rsid w:val="006064BE"/>
    <w:rsid w:val="00653C9A"/>
    <w:rsid w:val="006A34A9"/>
    <w:rsid w:val="00701F22"/>
    <w:rsid w:val="0070731B"/>
    <w:rsid w:val="00762138"/>
    <w:rsid w:val="0079612D"/>
    <w:rsid w:val="0088169F"/>
    <w:rsid w:val="008A3544"/>
    <w:rsid w:val="00A454EE"/>
    <w:rsid w:val="00A46606"/>
    <w:rsid w:val="00AE3F94"/>
    <w:rsid w:val="00AF17AA"/>
    <w:rsid w:val="00AF2403"/>
    <w:rsid w:val="00B31EA9"/>
    <w:rsid w:val="00B4205C"/>
    <w:rsid w:val="00B466C1"/>
    <w:rsid w:val="00C16ADA"/>
    <w:rsid w:val="00C57544"/>
    <w:rsid w:val="00C757D0"/>
    <w:rsid w:val="00C8303E"/>
    <w:rsid w:val="00CC3EFF"/>
    <w:rsid w:val="00D35D62"/>
    <w:rsid w:val="00D411C3"/>
    <w:rsid w:val="00D51BBC"/>
    <w:rsid w:val="00D73982"/>
    <w:rsid w:val="00DB4641"/>
    <w:rsid w:val="00E37883"/>
    <w:rsid w:val="00E5348D"/>
    <w:rsid w:val="00E65A7E"/>
    <w:rsid w:val="00E8527C"/>
    <w:rsid w:val="00EC0123"/>
    <w:rsid w:val="00EC7E81"/>
    <w:rsid w:val="00FA2B6F"/>
    <w:rsid w:val="00FD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D2B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AA"/>
  </w:style>
  <w:style w:type="paragraph" w:styleId="Footer">
    <w:name w:val="footer"/>
    <w:basedOn w:val="Normal"/>
    <w:link w:val="FooterChar"/>
    <w:uiPriority w:val="99"/>
    <w:unhideWhenUsed/>
    <w:rsid w:val="00AF1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FSP Summary of Finances Reports</vt:lpstr>
    </vt:vector>
  </TitlesOfParts>
  <Company>Texas Education Agency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Summary of Finances Reports</dc:title>
  <dc:creator>abrownso</dc:creator>
  <cp:lastModifiedBy>rkendric</cp:lastModifiedBy>
  <cp:revision>2</cp:revision>
  <cp:lastPrinted>2014-01-09T16:19:00Z</cp:lastPrinted>
  <dcterms:created xsi:type="dcterms:W3CDTF">2014-04-16T14:57:00Z</dcterms:created>
  <dcterms:modified xsi:type="dcterms:W3CDTF">2014-04-16T14:57:00Z</dcterms:modified>
</cp:coreProperties>
</file>